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BFC8D" w14:textId="7F8AA80E" w:rsidR="0017536E" w:rsidRDefault="0017536E" w:rsidP="0017536E">
      <w:pPr>
        <w:rPr>
          <w:b/>
          <w:bCs/>
          <w:sz w:val="28"/>
          <w:szCs w:val="28"/>
        </w:rPr>
      </w:pPr>
      <w:r>
        <w:t>Naturvetenskapens bärande idéer – Areskoug, Ekborg, Lindahl, Rosberg</w:t>
      </w:r>
      <w:r>
        <w:br/>
      </w:r>
    </w:p>
    <w:p w14:paraId="22AC949F" w14:textId="131AEE04" w:rsidR="008028D6" w:rsidRDefault="008028D6" w:rsidP="008028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Elevers förståelse av naturvetenskapens bärande idéer – fenomen, fakta, begrepp och </w:t>
      </w:r>
      <w:r>
        <w:rPr>
          <w:b/>
          <w:bCs/>
          <w:sz w:val="28"/>
          <w:szCs w:val="28"/>
        </w:rPr>
        <w:t>samband</w:t>
      </w:r>
    </w:p>
    <w:p w14:paraId="35B478BF" w14:textId="3AE3DA34" w:rsidR="008028D6" w:rsidRPr="008028D6" w:rsidRDefault="0017536E" w:rsidP="008028D6">
      <w:pPr>
        <w:ind w:left="720"/>
        <w:rPr>
          <w:i/>
          <w:iCs/>
          <w:sz w:val="20"/>
          <w:szCs w:val="20"/>
        </w:rPr>
      </w:pPr>
      <w:r w:rsidRPr="008028D6">
        <w:rPr>
          <w:b/>
          <w:bCs/>
          <w:sz w:val="28"/>
          <w:szCs w:val="28"/>
        </w:rPr>
        <w:br/>
      </w:r>
      <w:r w:rsidR="008028D6" w:rsidRPr="008028D6">
        <w:rPr>
          <w:i/>
          <w:iCs/>
          <w:sz w:val="20"/>
          <w:szCs w:val="20"/>
        </w:rPr>
        <w:t>I oktober 2009 anordnades ett internationellt seminarium med målet att definiera de</w:t>
      </w:r>
      <w:r w:rsidR="008028D6">
        <w:rPr>
          <w:i/>
          <w:iCs/>
          <w:sz w:val="20"/>
          <w:szCs w:val="20"/>
        </w:rPr>
        <w:t xml:space="preserve"> </w:t>
      </w:r>
      <w:r w:rsidR="008028D6" w:rsidRPr="008028D6">
        <w:rPr>
          <w:i/>
          <w:iCs/>
          <w:sz w:val="20"/>
          <w:szCs w:val="20"/>
        </w:rPr>
        <w:t>viktiga idéer som eleverna borde stöta på under sin utbildning i naturvetenskap.</w:t>
      </w:r>
      <w:r w:rsidR="008028D6" w:rsidRPr="00B44592">
        <w:t xml:space="preserve"> </w:t>
      </w:r>
      <w:r w:rsidR="008028D6" w:rsidRPr="008028D6">
        <w:rPr>
          <w:i/>
          <w:iCs/>
          <w:sz w:val="20"/>
          <w:szCs w:val="20"/>
        </w:rPr>
        <w:t>Seminariedeltagarna var verksamma forskare, ingenjörer och lärare i naturvetenskap. De var alla inblandade i att förbättra skolans utbildning i naturvetenskap, inte bara i sina egna länder utan också internationellt.</w:t>
      </w:r>
      <w:r w:rsidR="008028D6" w:rsidRPr="008028D6">
        <w:rPr>
          <w:i/>
          <w:iCs/>
          <w:sz w:val="20"/>
          <w:szCs w:val="20"/>
        </w:rPr>
        <w:br/>
        <w:t xml:space="preserve">Arbetet resulterade i en rapport där tio principer och fjorton stora idéer för utbildning i naturvetenskap sammanställdes och förklarades. Denna rapport ger en större insikt i och fördjupning kring bakgrunden till boken Naturvetenskapens bärande idéer. Rapporten finns översatt till svenska av NTA Skolutveckling, Britt Lindahl, och finns på NTAs hemsida. </w:t>
      </w:r>
      <w:r w:rsidR="00EA0DA2">
        <w:rPr>
          <w:i/>
          <w:iCs/>
          <w:sz w:val="20"/>
          <w:szCs w:val="20"/>
        </w:rPr>
        <w:t>Rapporten</w:t>
      </w:r>
      <w:r w:rsidR="008028D6" w:rsidRPr="008028D6">
        <w:rPr>
          <w:i/>
          <w:iCs/>
          <w:sz w:val="20"/>
          <w:szCs w:val="20"/>
        </w:rPr>
        <w:t xml:space="preserve"> finns också på vårt forum under fliken ”fördjupning och tips”</w:t>
      </w:r>
    </w:p>
    <w:p w14:paraId="20848651" w14:textId="67890011" w:rsidR="0017536E" w:rsidRPr="000D5608" w:rsidRDefault="0017536E" w:rsidP="0017536E">
      <w:pPr>
        <w:rPr>
          <w:sz w:val="18"/>
          <w:szCs w:val="18"/>
        </w:rPr>
      </w:pPr>
    </w:p>
    <w:p w14:paraId="172183C8" w14:textId="40FA4A0D" w:rsidR="0017536E" w:rsidRPr="000D5608" w:rsidRDefault="0017536E" w:rsidP="0017536E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Hur motiverar du för eleverna att det är viktigt att lära sig naturvetenskap?</w:t>
      </w:r>
    </w:p>
    <w:p w14:paraId="70EC8187" w14:textId="77777777" w:rsidR="00B44592" w:rsidRDefault="00B44592" w:rsidP="00B44592">
      <w:pPr>
        <w:pStyle w:val="Liststycke"/>
        <w:rPr>
          <w:i/>
          <w:iCs/>
          <w:sz w:val="20"/>
          <w:szCs w:val="20"/>
        </w:rPr>
      </w:pPr>
    </w:p>
    <w:p w14:paraId="743B5C58" w14:textId="56937ADC" w:rsidR="00B44592" w:rsidRDefault="008028D6" w:rsidP="00B44592">
      <w:pPr>
        <w:pStyle w:val="Liststycke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Svein Sjöberg</w:t>
      </w:r>
      <w:r w:rsidR="00EA0DA2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har sammanfattat fyra viktiga argument för varför man ska lära sig naturvetenskap.</w:t>
      </w:r>
    </w:p>
    <w:p w14:paraId="6129BB0C" w14:textId="5E08E55C" w:rsidR="008028D6" w:rsidRDefault="008028D6" w:rsidP="008028D6">
      <w:pPr>
        <w:pStyle w:val="Liststycke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Ekonomiska argument</w:t>
      </w:r>
    </w:p>
    <w:p w14:paraId="0DA6DB43" w14:textId="6858BAC0" w:rsidR="008028D6" w:rsidRDefault="008028D6" w:rsidP="008028D6">
      <w:pPr>
        <w:pStyle w:val="Liststycke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Nyttoargument</w:t>
      </w:r>
    </w:p>
    <w:p w14:paraId="7AAE463B" w14:textId="7D1B13DB" w:rsidR="008028D6" w:rsidRDefault="008028D6" w:rsidP="008028D6">
      <w:pPr>
        <w:pStyle w:val="Liststycke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Argumentet att naturvetenskapen är en del av vår</w:t>
      </w:r>
      <w:r w:rsidR="00C42F1B">
        <w:rPr>
          <w:i/>
          <w:iCs/>
          <w:sz w:val="20"/>
          <w:szCs w:val="20"/>
        </w:rPr>
        <w:t xml:space="preserve"> kultur, konst, litteratur och historia</w:t>
      </w:r>
    </w:p>
    <w:p w14:paraId="12D5AD86" w14:textId="458098E2" w:rsidR="00C42F1B" w:rsidRDefault="00C42F1B" w:rsidP="008028D6">
      <w:pPr>
        <w:pStyle w:val="Liststycke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Argumentet att det är en demokratisk rättighet</w:t>
      </w:r>
    </w:p>
    <w:p w14:paraId="0E8EE922" w14:textId="77777777" w:rsidR="00B44592" w:rsidRDefault="00B44592" w:rsidP="00B44592">
      <w:pPr>
        <w:pStyle w:val="Liststycke"/>
        <w:rPr>
          <w:i/>
          <w:iCs/>
          <w:sz w:val="20"/>
          <w:szCs w:val="20"/>
        </w:rPr>
      </w:pPr>
    </w:p>
    <w:p w14:paraId="2A91E40F" w14:textId="064B6E22" w:rsidR="00EA0DA2" w:rsidRDefault="00C42F1B" w:rsidP="00EA0DA2">
      <w:pPr>
        <w:ind w:left="720"/>
      </w:pPr>
      <w:r>
        <w:t xml:space="preserve">Koppla samman så många du kan av de fyra argumenten till ditt tema. </w:t>
      </w:r>
      <w:r w:rsidR="00EA0DA2">
        <w:t>Du kanske inte kan hitta bra exempel till alla fyra argumenten,</w:t>
      </w:r>
      <w:r>
        <w:t xml:space="preserve"> ”</w:t>
      </w:r>
      <w:r w:rsidR="00EA0DA2">
        <w:t>k</w:t>
      </w:r>
      <w:r>
        <w:t xml:space="preserve">rysta” </w:t>
      </w:r>
      <w:r w:rsidR="00EA0DA2">
        <w:t xml:space="preserve">då </w:t>
      </w:r>
      <w:r>
        <w:t xml:space="preserve">inte fram argument utan ta de argument som är tydliga. </w:t>
      </w:r>
      <w:r>
        <w:t>Motivera gärna argumenten med exempel.</w:t>
      </w:r>
      <w:r>
        <w:t xml:space="preserve"> Välj också argument och exempel som passar den ålder och mognad </w:t>
      </w:r>
      <w:r w:rsidR="00EA0DA2">
        <w:t xml:space="preserve">på eleverna </w:t>
      </w:r>
      <w:r>
        <w:t xml:space="preserve">som det tema du valt riktar sig mot.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4205"/>
        <w:gridCol w:w="4137"/>
      </w:tblGrid>
      <w:tr w:rsidR="00EA0DA2" w14:paraId="5D02D070" w14:textId="77777777" w:rsidTr="00EA0DA2">
        <w:tc>
          <w:tcPr>
            <w:tcW w:w="4531" w:type="dxa"/>
            <w:shd w:val="clear" w:color="auto" w:fill="F2F2F2" w:themeFill="background1" w:themeFillShade="F2"/>
          </w:tcPr>
          <w:p w14:paraId="15FF18F6" w14:textId="1EE0FE2C" w:rsidR="00C42F1B" w:rsidRDefault="00C42F1B" w:rsidP="00C42F1B">
            <w:r>
              <w:t>Argument att naturvetenskap är viktigt</w:t>
            </w:r>
          </w:p>
        </w:tc>
        <w:tc>
          <w:tcPr>
            <w:tcW w:w="4531" w:type="dxa"/>
          </w:tcPr>
          <w:p w14:paraId="1E563D48" w14:textId="77777777" w:rsidR="00EA0DA2" w:rsidRPr="00EA0DA2" w:rsidRDefault="00EA0DA2" w:rsidP="00C42F1B">
            <w:pPr>
              <w:rPr>
                <w:i/>
                <w:iCs/>
              </w:rPr>
            </w:pPr>
            <w:r w:rsidRPr="00EA0DA2">
              <w:rPr>
                <w:i/>
                <w:iCs/>
              </w:rPr>
              <w:t>Mina förslag på argument</w:t>
            </w:r>
          </w:p>
          <w:p w14:paraId="766D5FD8" w14:textId="6D79C74C" w:rsidR="00C42F1B" w:rsidRDefault="00C42F1B" w:rsidP="00C42F1B">
            <w:r w:rsidRPr="00EA0DA2">
              <w:rPr>
                <w:i/>
                <w:iCs/>
              </w:rPr>
              <w:t>Tema;</w:t>
            </w:r>
            <w:r>
              <w:t xml:space="preserve"> </w:t>
            </w:r>
          </w:p>
        </w:tc>
      </w:tr>
      <w:tr w:rsidR="00EA0DA2" w14:paraId="70045F36" w14:textId="77777777" w:rsidTr="00EA0DA2">
        <w:tc>
          <w:tcPr>
            <w:tcW w:w="4531" w:type="dxa"/>
            <w:shd w:val="clear" w:color="auto" w:fill="F2F2F2" w:themeFill="background1" w:themeFillShade="F2"/>
          </w:tcPr>
          <w:p w14:paraId="500332FA" w14:textId="7D17635D" w:rsidR="00C42F1B" w:rsidRPr="00EA0DA2" w:rsidRDefault="00C42F1B" w:rsidP="00C42F1B">
            <w:pPr>
              <w:rPr>
                <w:sz w:val="20"/>
                <w:szCs w:val="20"/>
              </w:rPr>
            </w:pPr>
            <w:r w:rsidRPr="00EA0DA2">
              <w:rPr>
                <w:sz w:val="20"/>
                <w:szCs w:val="20"/>
              </w:rPr>
              <w:t>Ekonomiska argument</w:t>
            </w:r>
          </w:p>
        </w:tc>
        <w:tc>
          <w:tcPr>
            <w:tcW w:w="4531" w:type="dxa"/>
          </w:tcPr>
          <w:p w14:paraId="55183970" w14:textId="77777777" w:rsidR="00C42F1B" w:rsidRDefault="00C42F1B" w:rsidP="00C42F1B"/>
          <w:p w14:paraId="25C775F1" w14:textId="1F501F6F" w:rsidR="00EA0DA2" w:rsidRDefault="00EA0DA2" w:rsidP="00C42F1B"/>
        </w:tc>
      </w:tr>
      <w:tr w:rsidR="00EA0DA2" w14:paraId="1A9A313E" w14:textId="77777777" w:rsidTr="00EA0DA2">
        <w:tc>
          <w:tcPr>
            <w:tcW w:w="4531" w:type="dxa"/>
            <w:shd w:val="clear" w:color="auto" w:fill="F2F2F2" w:themeFill="background1" w:themeFillShade="F2"/>
          </w:tcPr>
          <w:p w14:paraId="29B6D22C" w14:textId="77777777" w:rsidR="00C42F1B" w:rsidRPr="00EA0DA2" w:rsidRDefault="00C42F1B" w:rsidP="00C42F1B">
            <w:pPr>
              <w:rPr>
                <w:sz w:val="20"/>
                <w:szCs w:val="20"/>
              </w:rPr>
            </w:pPr>
            <w:r w:rsidRPr="00EA0DA2">
              <w:rPr>
                <w:sz w:val="20"/>
                <w:szCs w:val="20"/>
              </w:rPr>
              <w:t>Nyttoargument</w:t>
            </w:r>
          </w:p>
          <w:p w14:paraId="72C59173" w14:textId="77777777" w:rsidR="00C42F1B" w:rsidRPr="00EA0DA2" w:rsidRDefault="00C42F1B" w:rsidP="00C42F1B"/>
        </w:tc>
        <w:tc>
          <w:tcPr>
            <w:tcW w:w="4531" w:type="dxa"/>
          </w:tcPr>
          <w:p w14:paraId="135E2F7A" w14:textId="77777777" w:rsidR="00C42F1B" w:rsidRDefault="00C42F1B" w:rsidP="00C42F1B"/>
          <w:p w14:paraId="2069EC47" w14:textId="2DE09AC6" w:rsidR="00EA0DA2" w:rsidRDefault="00EA0DA2" w:rsidP="00C42F1B"/>
        </w:tc>
      </w:tr>
      <w:tr w:rsidR="00EA0DA2" w14:paraId="7F59D50D" w14:textId="77777777" w:rsidTr="00EA0DA2">
        <w:tc>
          <w:tcPr>
            <w:tcW w:w="4531" w:type="dxa"/>
            <w:shd w:val="clear" w:color="auto" w:fill="F2F2F2" w:themeFill="background1" w:themeFillShade="F2"/>
          </w:tcPr>
          <w:p w14:paraId="285FDC02" w14:textId="054BD5FC" w:rsidR="00C42F1B" w:rsidRPr="00EA0DA2" w:rsidRDefault="00C42F1B" w:rsidP="00C42F1B">
            <w:pPr>
              <w:rPr>
                <w:sz w:val="20"/>
                <w:szCs w:val="20"/>
              </w:rPr>
            </w:pPr>
            <w:r w:rsidRPr="00EA0DA2">
              <w:rPr>
                <w:sz w:val="20"/>
                <w:szCs w:val="20"/>
              </w:rPr>
              <w:t>Argumentet att naturvetenskapen är en del av vår kultur, konst, litteratur och historia</w:t>
            </w:r>
          </w:p>
        </w:tc>
        <w:tc>
          <w:tcPr>
            <w:tcW w:w="4531" w:type="dxa"/>
          </w:tcPr>
          <w:p w14:paraId="00881352" w14:textId="42A4DC75" w:rsidR="00EA0DA2" w:rsidRDefault="00EA0DA2" w:rsidP="00C42F1B"/>
        </w:tc>
      </w:tr>
      <w:tr w:rsidR="00EA0DA2" w14:paraId="4589C3B9" w14:textId="77777777" w:rsidTr="00EA0DA2">
        <w:tc>
          <w:tcPr>
            <w:tcW w:w="4531" w:type="dxa"/>
            <w:shd w:val="clear" w:color="auto" w:fill="F2F2F2" w:themeFill="background1" w:themeFillShade="F2"/>
          </w:tcPr>
          <w:p w14:paraId="344F50A1" w14:textId="0BB9A59A" w:rsidR="00C42F1B" w:rsidRPr="00EA0DA2" w:rsidRDefault="00C42F1B" w:rsidP="00C42F1B">
            <w:r w:rsidRPr="00EA0DA2">
              <w:rPr>
                <w:sz w:val="20"/>
                <w:szCs w:val="20"/>
              </w:rPr>
              <w:t>Argumentet att det är en demokratisk rättighet</w:t>
            </w:r>
          </w:p>
        </w:tc>
        <w:tc>
          <w:tcPr>
            <w:tcW w:w="4531" w:type="dxa"/>
          </w:tcPr>
          <w:p w14:paraId="415DFFD4" w14:textId="77777777" w:rsidR="00C42F1B" w:rsidRDefault="00C42F1B" w:rsidP="00C42F1B"/>
          <w:p w14:paraId="61D50E12" w14:textId="6A94AB10" w:rsidR="00EA0DA2" w:rsidRDefault="00EA0DA2" w:rsidP="00C42F1B"/>
        </w:tc>
      </w:tr>
    </w:tbl>
    <w:p w14:paraId="15121F4B" w14:textId="77777777" w:rsidR="00C42F1B" w:rsidRPr="00EA0DA2" w:rsidRDefault="00C42F1B" w:rsidP="00C42F1B">
      <w:pPr>
        <w:ind w:left="720"/>
        <w:rPr>
          <w:b/>
          <w:bCs/>
        </w:rPr>
      </w:pPr>
    </w:p>
    <w:p w14:paraId="6306D38D" w14:textId="5E774183" w:rsidR="00891834" w:rsidRDefault="00EA0DA2" w:rsidP="00EA0DA2">
      <w:pPr>
        <w:pStyle w:val="Liststycke"/>
        <w:numPr>
          <w:ilvl w:val="0"/>
          <w:numId w:val="2"/>
        </w:numPr>
        <w:rPr>
          <w:b/>
          <w:bCs/>
        </w:rPr>
      </w:pPr>
      <w:r w:rsidRPr="00EA0DA2">
        <w:rPr>
          <w:b/>
          <w:bCs/>
        </w:rPr>
        <w:t xml:space="preserve">Att förklara </w:t>
      </w:r>
      <w:r w:rsidRPr="00EA0DA2">
        <w:rPr>
          <w:b/>
          <w:bCs/>
        </w:rPr>
        <w:t>fenomen, fakta, begrepp och samband</w:t>
      </w:r>
    </w:p>
    <w:p w14:paraId="7EB7DFEE" w14:textId="2E3E5D77" w:rsidR="00DE1576" w:rsidRDefault="002570B0" w:rsidP="00DE1576">
      <w:pPr>
        <w:ind w:left="360"/>
      </w:pPr>
      <w:r w:rsidRPr="002570B0">
        <w:rPr>
          <w:i/>
          <w:iCs/>
        </w:rPr>
        <w:t>”De bärande idéerna i naturvetenskap innehåller många begrepp och förklaringar på en abstraktionsnivå som eleverna i årskurs F-6 är för unga att ta till sig. De behöver konkreta upplevelser och exempel på grundläggande fenomen, utan att man går in på en alltför abstrakt förklaringsnivå.”</w:t>
      </w:r>
      <w:r>
        <w:rPr>
          <w:i/>
          <w:iCs/>
        </w:rPr>
        <w:br/>
      </w:r>
      <w:r>
        <w:t xml:space="preserve">NTAs material ger dig stöd i att hitta upplevelser och grundläggande fenomen att undersöka och </w:t>
      </w:r>
      <w:r>
        <w:lastRenderedPageBreak/>
        <w:t xml:space="preserve">förstå. Efter att undersökningarna är gjorda behöver de sedan i gruppen diskuteras och sammanfattas. I varje tema finns ett antal </w:t>
      </w:r>
      <w:r w:rsidR="00DE1576">
        <w:t xml:space="preserve">viktiga </w:t>
      </w:r>
      <w:r>
        <w:t>fenomen, fakta, begrepp och samban</w:t>
      </w:r>
      <w:r w:rsidR="00DE1576">
        <w:t>d som eleverna behöver förstå (på sin abstraktionsnivå). De deltagare du möter på din temautbildningsdag behöver</w:t>
      </w:r>
      <w:r w:rsidR="00286800">
        <w:t xml:space="preserve"> också</w:t>
      </w:r>
      <w:bookmarkStart w:id="0" w:name="_GoBack"/>
      <w:bookmarkEnd w:id="0"/>
      <w:r w:rsidR="00DE1576">
        <w:t xml:space="preserve"> förstå dessa fenomen, fakta, begrepp och samband för att på ett bra sätt lotsa sina elever mot en allt djupare medvetenhet och förståelse av naturvetenskapen i temat.</w:t>
      </w:r>
    </w:p>
    <w:p w14:paraId="006B083E" w14:textId="79EF8445" w:rsidR="00DE1576" w:rsidRPr="00B81F91" w:rsidRDefault="00DE1576" w:rsidP="00DE1576">
      <w:pPr>
        <w:pStyle w:val="Liststycke"/>
        <w:numPr>
          <w:ilvl w:val="0"/>
          <w:numId w:val="5"/>
        </w:numPr>
      </w:pPr>
      <w:r>
        <w:t xml:space="preserve">Skapa en begreppslista till ditt tema. </w:t>
      </w:r>
      <w:r>
        <w:br/>
        <w:t xml:space="preserve">Denna uppgift står också på sammanfattningen av de uppgifter du har att göra inför </w:t>
      </w:r>
      <w:r w:rsidRPr="00B81F91">
        <w:t xml:space="preserve">majdagarna; </w:t>
      </w:r>
      <w:r w:rsidR="00B81F91" w:rsidRPr="00B81F91">
        <w:rPr>
          <w:color w:val="4472C4" w:themeColor="accent1"/>
        </w:rPr>
        <w:t>”</w:t>
      </w:r>
      <w:r w:rsidRPr="00DE1576">
        <w:rPr>
          <w:color w:val="4472C4" w:themeColor="accent1"/>
        </w:rPr>
        <w:t>Granska ditt tema på jakt efter ämnesspecifika begrepp och andra begrepp som är avgörande för den naturvetenskapliga förståelsen. Gör en begreppslista.</w:t>
      </w:r>
      <w:r w:rsidR="00B81F91" w:rsidRPr="00B81F91">
        <w:rPr>
          <w:color w:val="4472C4" w:themeColor="accent1"/>
        </w:rPr>
        <w:t>”</w:t>
      </w:r>
      <w:r w:rsidR="00B81F91" w:rsidRPr="00B81F91">
        <w:t xml:space="preserve"> </w:t>
      </w:r>
    </w:p>
    <w:p w14:paraId="7B2BFCC2" w14:textId="77777777" w:rsidR="00B81F91" w:rsidRPr="00DE1576" w:rsidRDefault="00B81F91" w:rsidP="00B81F91">
      <w:pPr>
        <w:pStyle w:val="Liststycke"/>
      </w:pPr>
    </w:p>
    <w:p w14:paraId="6AF9669A" w14:textId="5F54A632" w:rsidR="00DE1576" w:rsidRDefault="00DE1576" w:rsidP="00DE1576">
      <w:pPr>
        <w:pStyle w:val="Liststycke"/>
        <w:numPr>
          <w:ilvl w:val="0"/>
          <w:numId w:val="5"/>
        </w:numPr>
      </w:pPr>
      <w:r>
        <w:t xml:space="preserve">Välj ut tre </w:t>
      </w:r>
      <w:r>
        <w:t xml:space="preserve">fenomen, fakta, begrepp </w:t>
      </w:r>
      <w:r>
        <w:t>eller</w:t>
      </w:r>
      <w:r>
        <w:t xml:space="preserve"> samband</w:t>
      </w:r>
      <w:r>
        <w:t xml:space="preserve"> som du anser som de viktigaste att eleverna kan efter avslutat arbete med ditt tema.</w:t>
      </w:r>
      <w:r w:rsidR="00B81F91">
        <w:t xml:space="preserve"> Läs på lite extra om dem. </w:t>
      </w:r>
    </w:p>
    <w:p w14:paraId="20F97BAE" w14:textId="77777777" w:rsidR="00B81F91" w:rsidRDefault="00B81F91" w:rsidP="00B81F91">
      <w:pPr>
        <w:pStyle w:val="Liststycke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6091"/>
        <w:gridCol w:w="2971"/>
      </w:tblGrid>
      <w:tr w:rsidR="00B81F91" w14:paraId="5990871B" w14:textId="77777777" w:rsidTr="008835F2">
        <w:tc>
          <w:tcPr>
            <w:tcW w:w="9062" w:type="dxa"/>
            <w:gridSpan w:val="2"/>
          </w:tcPr>
          <w:p w14:paraId="1855AF25" w14:textId="77777777" w:rsidR="00B81F91" w:rsidRDefault="00B81F91" w:rsidP="00B81F91">
            <w:r>
              <w:t xml:space="preserve">Begreppslista till tema;  </w:t>
            </w:r>
          </w:p>
          <w:p w14:paraId="3FD7EC49" w14:textId="64B53F99" w:rsidR="00B81F91" w:rsidRDefault="00B81F91" w:rsidP="00B81F91"/>
        </w:tc>
      </w:tr>
      <w:tr w:rsidR="00B81F91" w14:paraId="2DC6DD6D" w14:textId="77777777" w:rsidTr="00B81F91">
        <w:tc>
          <w:tcPr>
            <w:tcW w:w="6091" w:type="dxa"/>
            <w:shd w:val="clear" w:color="auto" w:fill="F2F2F2" w:themeFill="background1" w:themeFillShade="F2"/>
          </w:tcPr>
          <w:p w14:paraId="189C07CE" w14:textId="373D5EA1" w:rsidR="00B81F91" w:rsidRDefault="00B81F91" w:rsidP="00B81F91">
            <w:r>
              <w:t>Begrepp</w:t>
            </w:r>
          </w:p>
        </w:tc>
        <w:tc>
          <w:tcPr>
            <w:tcW w:w="2971" w:type="dxa"/>
            <w:shd w:val="clear" w:color="auto" w:fill="F2F2F2" w:themeFill="background1" w:themeFillShade="F2"/>
          </w:tcPr>
          <w:p w14:paraId="34E41A04" w14:textId="53B1BD3A" w:rsidR="00B81F91" w:rsidRDefault="00B81F91" w:rsidP="00B81F91">
            <w:r w:rsidRPr="00B81F91">
              <w:rPr>
                <w:sz w:val="16"/>
                <w:szCs w:val="16"/>
              </w:rPr>
              <w:t>Eleverna möter begreppet i uppdrag nr</w:t>
            </w:r>
          </w:p>
        </w:tc>
      </w:tr>
      <w:tr w:rsidR="00B81F91" w14:paraId="44B668C6" w14:textId="77777777" w:rsidTr="00B81F91">
        <w:tc>
          <w:tcPr>
            <w:tcW w:w="6091" w:type="dxa"/>
          </w:tcPr>
          <w:p w14:paraId="41296D7F" w14:textId="2A2CDAC3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D5A853D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1546F63F" w14:textId="77777777" w:rsidTr="00B81F91">
        <w:tc>
          <w:tcPr>
            <w:tcW w:w="6091" w:type="dxa"/>
          </w:tcPr>
          <w:p w14:paraId="24DE5843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00ECBE23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3AD27379" w14:textId="77777777" w:rsidTr="00B81F91">
        <w:tc>
          <w:tcPr>
            <w:tcW w:w="6091" w:type="dxa"/>
          </w:tcPr>
          <w:p w14:paraId="5E6184D6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5E31E2B0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21D9DC42" w14:textId="77777777" w:rsidTr="00B81F91">
        <w:tc>
          <w:tcPr>
            <w:tcW w:w="6091" w:type="dxa"/>
          </w:tcPr>
          <w:p w14:paraId="36A4B443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7A436DE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481B6804" w14:textId="77777777" w:rsidTr="00B81F91">
        <w:tc>
          <w:tcPr>
            <w:tcW w:w="6091" w:type="dxa"/>
          </w:tcPr>
          <w:p w14:paraId="3DE3A240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0D435A8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5B8CD271" w14:textId="77777777" w:rsidTr="00B81F91">
        <w:tc>
          <w:tcPr>
            <w:tcW w:w="6091" w:type="dxa"/>
          </w:tcPr>
          <w:p w14:paraId="44BB3AF7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5DD1FABB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59E7E497" w14:textId="77777777" w:rsidTr="00B81F91">
        <w:tc>
          <w:tcPr>
            <w:tcW w:w="6091" w:type="dxa"/>
          </w:tcPr>
          <w:p w14:paraId="76F9FCDF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F66E83A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2021D801" w14:textId="77777777" w:rsidTr="00B81F91">
        <w:tc>
          <w:tcPr>
            <w:tcW w:w="6091" w:type="dxa"/>
          </w:tcPr>
          <w:p w14:paraId="6F25BBE4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15A61936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5A75D154" w14:textId="77777777" w:rsidTr="00B81F91">
        <w:tc>
          <w:tcPr>
            <w:tcW w:w="6091" w:type="dxa"/>
          </w:tcPr>
          <w:p w14:paraId="5D7F862B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004B0E72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2FEB6E0C" w14:textId="77777777" w:rsidTr="00B81F91">
        <w:tc>
          <w:tcPr>
            <w:tcW w:w="6091" w:type="dxa"/>
          </w:tcPr>
          <w:p w14:paraId="441634FE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22FBC619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64D91F3F" w14:textId="77777777" w:rsidTr="00B81F91">
        <w:tc>
          <w:tcPr>
            <w:tcW w:w="6091" w:type="dxa"/>
          </w:tcPr>
          <w:p w14:paraId="704C7AF0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41152FD7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3C82926F" w14:textId="77777777" w:rsidTr="00B81F91">
        <w:tc>
          <w:tcPr>
            <w:tcW w:w="6091" w:type="dxa"/>
          </w:tcPr>
          <w:p w14:paraId="1E10941D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7D0ED15B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2771DE49" w14:textId="77777777" w:rsidTr="00B81F91">
        <w:tc>
          <w:tcPr>
            <w:tcW w:w="6091" w:type="dxa"/>
          </w:tcPr>
          <w:p w14:paraId="0884B506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62152C9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6561D016" w14:textId="77777777" w:rsidTr="00B81F91">
        <w:tc>
          <w:tcPr>
            <w:tcW w:w="6091" w:type="dxa"/>
          </w:tcPr>
          <w:p w14:paraId="1960B9BB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2EC20C62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03F1E6C2" w14:textId="77777777" w:rsidTr="00B81F91">
        <w:tc>
          <w:tcPr>
            <w:tcW w:w="6091" w:type="dxa"/>
          </w:tcPr>
          <w:p w14:paraId="324D9C86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667A7BF2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436A0A6C" w14:textId="77777777" w:rsidTr="00B81F91">
        <w:tc>
          <w:tcPr>
            <w:tcW w:w="6091" w:type="dxa"/>
          </w:tcPr>
          <w:p w14:paraId="60648218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0ADFB687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  <w:tr w:rsidR="00B81F91" w14:paraId="468B41F1" w14:textId="77777777" w:rsidTr="00B81F91">
        <w:tc>
          <w:tcPr>
            <w:tcW w:w="6091" w:type="dxa"/>
          </w:tcPr>
          <w:p w14:paraId="5E723034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  <w:tc>
          <w:tcPr>
            <w:tcW w:w="2971" w:type="dxa"/>
          </w:tcPr>
          <w:p w14:paraId="5DB0110F" w14:textId="77777777" w:rsidR="00B81F91" w:rsidRPr="00B81F91" w:rsidRDefault="00B81F91" w:rsidP="00B81F91">
            <w:pPr>
              <w:rPr>
                <w:sz w:val="24"/>
                <w:szCs w:val="24"/>
              </w:rPr>
            </w:pPr>
          </w:p>
        </w:tc>
      </w:tr>
    </w:tbl>
    <w:p w14:paraId="581196F2" w14:textId="7561F610" w:rsidR="00B81F91" w:rsidRDefault="00B81F91" w:rsidP="00B81F9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0C15" w14:paraId="50C66AD0" w14:textId="77777777" w:rsidTr="00500C15">
        <w:tc>
          <w:tcPr>
            <w:tcW w:w="9062" w:type="dxa"/>
            <w:shd w:val="clear" w:color="auto" w:fill="F2F2F2" w:themeFill="background1" w:themeFillShade="F2"/>
          </w:tcPr>
          <w:p w14:paraId="6784127E" w14:textId="07D71833" w:rsidR="00500C15" w:rsidRDefault="00500C15" w:rsidP="00B81F91">
            <w:r>
              <w:t xml:space="preserve">De </w:t>
            </w:r>
            <w:r>
              <w:t>tre viktiga</w:t>
            </w:r>
            <w:r>
              <w:t>ste</w:t>
            </w:r>
            <w:r>
              <w:t xml:space="preserve"> fenomen, fakta, begrepp eller samband</w:t>
            </w:r>
            <w:r>
              <w:t xml:space="preserve"> i mitt tema är;</w:t>
            </w:r>
          </w:p>
        </w:tc>
      </w:tr>
      <w:tr w:rsidR="00500C15" w14:paraId="03980CED" w14:textId="77777777" w:rsidTr="00500C15">
        <w:tc>
          <w:tcPr>
            <w:tcW w:w="9062" w:type="dxa"/>
          </w:tcPr>
          <w:p w14:paraId="4391D423" w14:textId="77777777" w:rsidR="00500C15" w:rsidRDefault="00500C15" w:rsidP="00B81F91">
            <w:r>
              <w:t>1:</w:t>
            </w:r>
          </w:p>
          <w:p w14:paraId="3C308073" w14:textId="77777777" w:rsidR="00500C15" w:rsidRDefault="00500C15" w:rsidP="00B81F91"/>
          <w:p w14:paraId="66FC9975" w14:textId="2BBC9B2A" w:rsidR="00500C15" w:rsidRDefault="00500C15" w:rsidP="00B81F91"/>
        </w:tc>
      </w:tr>
      <w:tr w:rsidR="00500C15" w14:paraId="2BA0D97B" w14:textId="77777777" w:rsidTr="00500C15">
        <w:tc>
          <w:tcPr>
            <w:tcW w:w="9062" w:type="dxa"/>
          </w:tcPr>
          <w:p w14:paraId="00E6E0AE" w14:textId="77777777" w:rsidR="00500C15" w:rsidRDefault="00500C15" w:rsidP="00B81F91">
            <w:r>
              <w:t>2:</w:t>
            </w:r>
          </w:p>
          <w:p w14:paraId="3308C6C4" w14:textId="77777777" w:rsidR="00500C15" w:rsidRDefault="00500C15" w:rsidP="00B81F91"/>
          <w:p w14:paraId="7B349764" w14:textId="7E9847D6" w:rsidR="00500C15" w:rsidRDefault="00500C15" w:rsidP="00B81F91"/>
        </w:tc>
      </w:tr>
      <w:tr w:rsidR="00500C15" w14:paraId="7FDECFAE" w14:textId="77777777" w:rsidTr="00500C15">
        <w:tc>
          <w:tcPr>
            <w:tcW w:w="9062" w:type="dxa"/>
          </w:tcPr>
          <w:p w14:paraId="00E84F64" w14:textId="77777777" w:rsidR="00500C15" w:rsidRDefault="00500C15" w:rsidP="00B81F91">
            <w:r>
              <w:t>3:</w:t>
            </w:r>
          </w:p>
          <w:p w14:paraId="040F211F" w14:textId="77777777" w:rsidR="00500C15" w:rsidRDefault="00500C15" w:rsidP="00B81F91"/>
          <w:p w14:paraId="54C40ACA" w14:textId="72BE27F0" w:rsidR="00500C15" w:rsidRDefault="00500C15" w:rsidP="00B81F91"/>
        </w:tc>
      </w:tr>
    </w:tbl>
    <w:p w14:paraId="02DD3308" w14:textId="77777777" w:rsidR="00B81F91" w:rsidRPr="00DE1576" w:rsidRDefault="00B81F91" w:rsidP="00B81F91"/>
    <w:sectPr w:rsidR="00B81F91" w:rsidRPr="00DE157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05A46" w14:textId="77777777" w:rsidR="00500C15" w:rsidRDefault="00500C15" w:rsidP="00500C15">
      <w:pPr>
        <w:spacing w:after="0" w:line="240" w:lineRule="auto"/>
      </w:pPr>
      <w:r>
        <w:separator/>
      </w:r>
    </w:p>
  </w:endnote>
  <w:endnote w:type="continuationSeparator" w:id="0">
    <w:p w14:paraId="406199EE" w14:textId="77777777" w:rsidR="00500C15" w:rsidRDefault="00500C15" w:rsidP="0050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FFF4B3" w14:textId="77777777" w:rsidR="00500C15" w:rsidRDefault="00500C15" w:rsidP="00500C15">
      <w:pPr>
        <w:spacing w:after="0" w:line="240" w:lineRule="auto"/>
      </w:pPr>
      <w:r>
        <w:separator/>
      </w:r>
    </w:p>
  </w:footnote>
  <w:footnote w:type="continuationSeparator" w:id="0">
    <w:p w14:paraId="6DA0A930" w14:textId="77777777" w:rsidR="00500C15" w:rsidRDefault="00500C15" w:rsidP="0050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A9576" w14:textId="0F9A9459" w:rsidR="00500C15" w:rsidRDefault="00500C15" w:rsidP="00500C15">
    <w:pPr>
      <w:pStyle w:val="Sidhuvud"/>
      <w:jc w:val="right"/>
    </w:pPr>
    <w:r>
      <w:rPr>
        <w:noProof/>
      </w:rPr>
      <w:drawing>
        <wp:inline distT="0" distB="0" distL="0" distR="0" wp14:anchorId="31EEF9F8" wp14:editId="4A90BFD8">
          <wp:extent cx="1664335" cy="280670"/>
          <wp:effectExtent l="0" t="0" r="0" b="5080"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543A"/>
    <w:multiLevelType w:val="hybridMultilevel"/>
    <w:tmpl w:val="CFB878F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62FCC"/>
    <w:multiLevelType w:val="hybridMultilevel"/>
    <w:tmpl w:val="BD3649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995A51"/>
    <w:multiLevelType w:val="hybridMultilevel"/>
    <w:tmpl w:val="53AEB6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4A688D"/>
    <w:multiLevelType w:val="hybridMultilevel"/>
    <w:tmpl w:val="B86CB5B6"/>
    <w:lvl w:ilvl="0" w:tplc="5E30D9C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155477"/>
    <w:multiLevelType w:val="hybridMultilevel"/>
    <w:tmpl w:val="FEB06C2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36E"/>
    <w:rsid w:val="00054D01"/>
    <w:rsid w:val="0017536E"/>
    <w:rsid w:val="002570B0"/>
    <w:rsid w:val="00286800"/>
    <w:rsid w:val="00500C15"/>
    <w:rsid w:val="008028D6"/>
    <w:rsid w:val="00891834"/>
    <w:rsid w:val="00B44592"/>
    <w:rsid w:val="00B81F91"/>
    <w:rsid w:val="00C42F1B"/>
    <w:rsid w:val="00DE1576"/>
    <w:rsid w:val="00EA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D835B2B"/>
  <w15:chartTrackingRefBased/>
  <w15:docId w15:val="{E9D41315-B768-4990-8032-ACF23850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36E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7536E"/>
    <w:pPr>
      <w:ind w:left="720"/>
      <w:contextualSpacing/>
    </w:pPr>
  </w:style>
  <w:style w:type="table" w:styleId="Tabellrutnt">
    <w:name w:val="Table Grid"/>
    <w:basedOn w:val="Normaltabell"/>
    <w:uiPriority w:val="39"/>
    <w:rsid w:val="00C4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50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00C15"/>
  </w:style>
  <w:style w:type="paragraph" w:styleId="Sidfot">
    <w:name w:val="footer"/>
    <w:basedOn w:val="Normal"/>
    <w:link w:val="SidfotChar"/>
    <w:uiPriority w:val="99"/>
    <w:unhideWhenUsed/>
    <w:rsid w:val="00500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0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95B9FC53575D429537382323EE65AF" ma:contentTypeVersion="2" ma:contentTypeDescription="Skapa ett nytt dokument." ma:contentTypeScope="" ma:versionID="cae668dfbafe8a9cd57064f63142aa36">
  <xsd:schema xmlns:xsd="http://www.w3.org/2001/XMLSchema" xmlns:xs="http://www.w3.org/2001/XMLSchema" xmlns:p="http://schemas.microsoft.com/office/2006/metadata/properties" xmlns:ns2="2c6f6a1c-a20b-46ad-ae6c-1da29a89e4aa" targetNamespace="http://schemas.microsoft.com/office/2006/metadata/properties" ma:root="true" ma:fieldsID="990a1d04c8132a7785bc6585667323e1" ns2:_="">
    <xsd:import namespace="2c6f6a1c-a20b-46ad-ae6c-1da29a89e4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f6a1c-a20b-46ad-ae6c-1da29a89e4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FBEC7F-33F4-409C-820F-A4F73C19020F}"/>
</file>

<file path=customXml/itemProps2.xml><?xml version="1.0" encoding="utf-8"?>
<ds:datastoreItem xmlns:ds="http://schemas.openxmlformats.org/officeDocument/2006/customXml" ds:itemID="{B3D3173C-EDC3-4AF3-BF01-1FF87CEBF378}"/>
</file>

<file path=customXml/itemProps3.xml><?xml version="1.0" encoding="utf-8"?>
<ds:datastoreItem xmlns:ds="http://schemas.openxmlformats.org/officeDocument/2006/customXml" ds:itemID="{F1758CE0-443C-4B01-97E2-D0281D15B0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Häggholm</dc:creator>
  <cp:keywords/>
  <dc:description/>
  <cp:lastModifiedBy>Tina Häggholm</cp:lastModifiedBy>
  <cp:revision>2</cp:revision>
  <dcterms:created xsi:type="dcterms:W3CDTF">2020-03-16T08:07:00Z</dcterms:created>
  <dcterms:modified xsi:type="dcterms:W3CDTF">2020-03-16T10:53:00Z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0x010100D995B9FC53575D429537382323EE65AF</vt:lpwstr>
  </property>
</Properties>
</file>